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7FA354C9" w:rsidR="00A75318" w:rsidRPr="000B5620" w:rsidRDefault="001D19BC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9BC">
              <w:rPr>
                <w:rFonts w:ascii="Times New Roman" w:hAnsi="Times New Roman" w:cs="Times New Roman"/>
                <w:sz w:val="24"/>
                <w:szCs w:val="24"/>
              </w:rPr>
              <w:t>UA-2024-02-26-005553-a</w:t>
            </w:r>
          </w:p>
        </w:tc>
      </w:tr>
      <w:tr w:rsidR="00A75318" w:rsidRPr="00C97F6F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C97F6F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21D56D4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C97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F4E4BEE" w:rsidR="00A75318" w:rsidRPr="000B5620" w:rsidRDefault="00C97F6F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233 9</w:t>
            </w:r>
            <w:r w:rsidR="001D1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D1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C97F6F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0F1C39"/>
    <w:rsid w:val="0011304D"/>
    <w:rsid w:val="00155439"/>
    <w:rsid w:val="001D19BC"/>
    <w:rsid w:val="00214488"/>
    <w:rsid w:val="00240AE3"/>
    <w:rsid w:val="00295C46"/>
    <w:rsid w:val="002C39BA"/>
    <w:rsid w:val="00356B09"/>
    <w:rsid w:val="00397520"/>
    <w:rsid w:val="003B56CB"/>
    <w:rsid w:val="004129BA"/>
    <w:rsid w:val="004445B8"/>
    <w:rsid w:val="00454ED5"/>
    <w:rsid w:val="00481B8E"/>
    <w:rsid w:val="00486E54"/>
    <w:rsid w:val="0049338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543A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671E3"/>
    <w:rsid w:val="00B87454"/>
    <w:rsid w:val="00B93D56"/>
    <w:rsid w:val="00B946CC"/>
    <w:rsid w:val="00C021C2"/>
    <w:rsid w:val="00C46344"/>
    <w:rsid w:val="00C61309"/>
    <w:rsid w:val="00C97F6F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2025-09-15T13:55:00Z</cp:lastPrinted>
  <dcterms:created xsi:type="dcterms:W3CDTF">2025-09-15T13:56:00Z</dcterms:created>
  <dcterms:modified xsi:type="dcterms:W3CDTF">2025-09-15T13:56:00Z</dcterms:modified>
</cp:coreProperties>
</file>